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6378" w14:textId="2AEB960B" w:rsidR="0024186D" w:rsidRDefault="0024186D" w:rsidP="00F271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bookmarkStart w:id="0" w:name="_Hlk155172817"/>
      <w:r w:rsidRPr="0024186D">
        <w:rPr>
          <w:rFonts w:ascii="Times New Roman" w:hAnsi="Times New Roman"/>
          <w:b/>
          <w:bCs/>
          <w:sz w:val="24"/>
          <w:szCs w:val="24"/>
        </w:rPr>
        <w:t>De: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M</w:t>
      </w:r>
      <w:r w:rsidRPr="004F419C">
        <w:rPr>
          <w:rFonts w:ascii="Times New Roman" w:hAnsi="Times New Roman"/>
          <w:sz w:val="24"/>
          <w:szCs w:val="24"/>
          <w:lang w:val="es-ES"/>
        </w:rPr>
        <w:t>áxima autoridad o su delegado institucional</w:t>
      </w:r>
    </w:p>
    <w:p w14:paraId="1EF6A3F4" w14:textId="072E481B" w:rsidR="0024186D" w:rsidRDefault="0024186D" w:rsidP="00F2710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86D">
        <w:rPr>
          <w:rFonts w:ascii="Times New Roman" w:hAnsi="Times New Roman"/>
          <w:b/>
          <w:bCs/>
          <w:sz w:val="24"/>
          <w:szCs w:val="24"/>
          <w:lang w:val="es-ES"/>
        </w:rPr>
        <w:t>Para:</w:t>
      </w:r>
      <w:r>
        <w:rPr>
          <w:rFonts w:ascii="Times New Roman" w:hAnsi="Times New Roman"/>
          <w:sz w:val="24"/>
          <w:szCs w:val="24"/>
          <w:lang w:val="es-ES"/>
        </w:rPr>
        <w:t xml:space="preserve"> Subsecretario de Meritocracia y Desarrollo del Talento Humano</w:t>
      </w:r>
    </w:p>
    <w:p w14:paraId="41260238" w14:textId="77777777" w:rsidR="0024186D" w:rsidRDefault="0024186D" w:rsidP="00F2710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F57164" w14:textId="0C305BFD" w:rsidR="00F2710C" w:rsidRPr="00C5659E" w:rsidRDefault="00F2710C" w:rsidP="00F2710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86D">
        <w:rPr>
          <w:rFonts w:ascii="Times New Roman" w:hAnsi="Times New Roman"/>
          <w:b/>
          <w:bCs/>
          <w:sz w:val="24"/>
          <w:szCs w:val="24"/>
        </w:rPr>
        <w:t>Asunto:</w:t>
      </w:r>
      <w:r w:rsidRPr="00C5659E">
        <w:rPr>
          <w:rFonts w:ascii="Times New Roman" w:hAnsi="Times New Roman"/>
          <w:sz w:val="24"/>
          <w:szCs w:val="24"/>
        </w:rPr>
        <w:t xml:space="preserve"> </w:t>
      </w:r>
      <w:r w:rsidR="009C1A0D" w:rsidRPr="00C5659E">
        <w:rPr>
          <w:rFonts w:ascii="Times New Roman" w:hAnsi="Times New Roman"/>
          <w:sz w:val="24"/>
          <w:szCs w:val="24"/>
          <w:lang w:val="es-ES"/>
        </w:rPr>
        <w:t xml:space="preserve">Oficio de solicitud </w:t>
      </w:r>
      <w:r w:rsidR="00CA0585" w:rsidRPr="00CA0585">
        <w:rPr>
          <w:rFonts w:ascii="Times New Roman" w:hAnsi="Times New Roman"/>
          <w:sz w:val="24"/>
          <w:szCs w:val="24"/>
          <w:lang w:val="es-ES"/>
        </w:rPr>
        <w:t xml:space="preserve">de autorización para sobrepasar el 20% de la totalidad del personal para la contratación de personal ocasional que ejecutará actividades no permanentes </w:t>
      </w:r>
      <w:r w:rsidRPr="00C5659E">
        <w:rPr>
          <w:rFonts w:ascii="Times New Roman" w:hAnsi="Times New Roman"/>
          <w:sz w:val="24"/>
          <w:szCs w:val="24"/>
        </w:rPr>
        <w:t xml:space="preserve">/ (NOMBRE DE LA </w:t>
      </w:r>
      <w:r w:rsidR="009C1A0D" w:rsidRPr="00C5659E">
        <w:rPr>
          <w:rFonts w:ascii="Times New Roman" w:hAnsi="Times New Roman"/>
          <w:sz w:val="24"/>
          <w:szCs w:val="24"/>
        </w:rPr>
        <w:t>INSTITUCIÓN</w:t>
      </w:r>
      <w:r w:rsidRPr="00C5659E">
        <w:rPr>
          <w:rFonts w:ascii="Times New Roman" w:hAnsi="Times New Roman"/>
          <w:sz w:val="24"/>
          <w:szCs w:val="24"/>
        </w:rPr>
        <w:t>)</w:t>
      </w:r>
    </w:p>
    <w:p w14:paraId="640BF79F" w14:textId="77777777" w:rsidR="00F2710C" w:rsidRPr="00C5659E" w:rsidRDefault="00F2710C" w:rsidP="00F2710C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A794156" w14:textId="1E3BA772" w:rsidR="006A611D" w:rsidRPr="006A611D" w:rsidRDefault="0081285C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través de los oficios Nro. MDT-VSP-2024-0502-O y MDT-VSP-2024-0503-O, de 28 de diciembre de 2024, se remitió el ANEXO 1</w:t>
      </w:r>
      <w:r w:rsidR="009C1A0D" w:rsidRPr="00C5659E">
        <w:rPr>
          <w:rFonts w:ascii="Times New Roman" w:hAnsi="Times New Roman"/>
          <w:sz w:val="24"/>
          <w:szCs w:val="24"/>
        </w:rPr>
        <w:t xml:space="preserve"> LINEAMIENTOS PARA LA SOLICITUD DE AUTORIZACIÓN/REGISTRO DE CONTRATOS DE SERVICIOS OCASIONALES OPERATIVOS </w:t>
      </w:r>
      <w:r w:rsidR="009C1A0D" w:rsidRPr="00C5659E">
        <w:rPr>
          <w:rFonts w:ascii="Times New Roman" w:hAnsi="Times New Roman"/>
          <w:sz w:val="24"/>
          <w:szCs w:val="24"/>
          <w:lang w:val="es-ES"/>
        </w:rPr>
        <w:t xml:space="preserve">(QUE VAYAN A SUSCRIBIRSE CON CARGO AL GRUPO 51 GASTO CORRIENTE) Y </w:t>
      </w:r>
      <w:r w:rsidR="009C1A0D" w:rsidRPr="00C5659E">
        <w:rPr>
          <w:rFonts w:ascii="Times New Roman" w:hAnsi="Times New Roman"/>
          <w:w w:val="105"/>
          <w:sz w:val="24"/>
          <w:szCs w:val="24"/>
        </w:rPr>
        <w:t xml:space="preserve">PARA SOBREPASAR EL 20% DE LA TOTALIDAD DEL PERSONAL PARA LA CONTRATACIÓN DE PERSONAL OCASIONAL, </w:t>
      </w:r>
      <w:r>
        <w:rPr>
          <w:rFonts w:ascii="Times New Roman" w:hAnsi="Times New Roman"/>
          <w:sz w:val="24"/>
          <w:szCs w:val="24"/>
        </w:rPr>
        <w:t xml:space="preserve">en cuyo </w:t>
      </w:r>
      <w:r w:rsidRPr="00C5659E">
        <w:rPr>
          <w:rFonts w:ascii="Times New Roman" w:hAnsi="Times New Roman"/>
          <w:sz w:val="24"/>
          <w:szCs w:val="24"/>
        </w:rPr>
        <w:t xml:space="preserve">numeral </w:t>
      </w:r>
      <w:r w:rsidR="006A611D">
        <w:rPr>
          <w:rFonts w:ascii="Times New Roman" w:hAnsi="Times New Roman"/>
          <w:sz w:val="24"/>
          <w:szCs w:val="24"/>
        </w:rPr>
        <w:t>4</w:t>
      </w:r>
      <w:r w:rsidRPr="00C56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cita lo </w:t>
      </w:r>
      <w:r w:rsidR="009C1A0D" w:rsidRPr="00C5659E">
        <w:rPr>
          <w:rFonts w:ascii="Times New Roman" w:hAnsi="Times New Roman"/>
          <w:w w:val="105"/>
          <w:sz w:val="24"/>
          <w:szCs w:val="24"/>
        </w:rPr>
        <w:t xml:space="preserve">siguiente: </w:t>
      </w:r>
      <w:r w:rsidR="006A611D">
        <w:rPr>
          <w:rFonts w:ascii="Times New Roman" w:hAnsi="Times New Roman"/>
          <w:w w:val="105"/>
          <w:sz w:val="24"/>
          <w:szCs w:val="24"/>
        </w:rPr>
        <w:t>“</w:t>
      </w:r>
      <w:r w:rsidR="006A611D" w:rsidRPr="006A611D">
        <w:rPr>
          <w:rFonts w:ascii="Times New Roman" w:hAnsi="Times New Roman"/>
          <w:i/>
          <w:iCs/>
          <w:w w:val="105"/>
          <w:sz w:val="24"/>
          <w:szCs w:val="24"/>
        </w:rPr>
        <w:t>Previo a la solicitud para sobrepasar el 20% de la totalidad del personal para la contratación de servicios ocasionales, las instituciones deberán observar lo siguiente:</w:t>
      </w:r>
    </w:p>
    <w:p w14:paraId="66491F87" w14:textId="77777777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>Conforme el inciso segundo del artículo 58 de la LOSEP; la Disposición Transitoria Segunda del Acuerdo Ministerial Nro. MDT-2019-375 (Directrices para la Optimización de Gastos de Personal en la Modalidad de contrato de Servicios Ocasionales); y , el ACUERDO No. 040, de 5 de noviembre de 2024 (Directrices de cierre del ejercicio fiscal 2024 y apertura del ejercicio fiscal 2025) la contratación de personal ocasional para la ejecución de actividades no permanentes, no podrá sobrepasar el 20% de la totalidad del personal de la institución contratante; en caso de que se superare dicho porcentaje, deberá contarse con la autorización previa del MDT.</w:t>
      </w:r>
    </w:p>
    <w:p w14:paraId="4D239781" w14:textId="77777777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>En ese mismo sentido, el art. 144 del Reglamento a la LOSEP, señala que cuando se requiera de la suscripción de contratos de servicios ocasionales, en porcentajes superiores al señalado en la LOSEP y en dicho Reglamento General, se requerirá de la correspondiente autorización del MDT.</w:t>
      </w:r>
    </w:p>
    <w:p w14:paraId="3CFF313A" w14:textId="77777777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>En tal virtud, las instituciones no podrán sobrepasar el 20% de la totalidad de su personal en la contratación de personal ocasional; sin embargo, únicamente por aquellas circunstancias que no dependan o dependieron de la institución y que le obliguen extraordinaria y justificadamente a sobrepasar dicho porcentaje, deberán solicitar la autorización previa del MDT.</w:t>
      </w:r>
    </w:p>
    <w:p w14:paraId="25105630" w14:textId="77777777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A733E9">
        <w:rPr>
          <w:rFonts w:ascii="Times New Roman" w:hAnsi="Times New Roman"/>
          <w:b/>
          <w:bCs/>
          <w:i/>
          <w:iCs/>
          <w:w w:val="105"/>
          <w:sz w:val="24"/>
          <w:szCs w:val="24"/>
        </w:rPr>
        <w:t>Cronograma con acciones que se ejecutarán para concluir las circunstancias que motivaron la solicitud para sobrepasar el 20%:</w:t>
      </w: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 xml:space="preserve"> Las instituciones deben justificar clara y específicamente las acciones que ejecutarán para concluir las circunstancias que motivaron la solicitud para sobrepasar el 20% de la totalidad del personal para la contratación de servicios ocasionales. El incumplimiento de dichas acciones en las fechas determinadas son de exclusiva responsabilidad de las instituciones.</w:t>
      </w:r>
    </w:p>
    <w:p w14:paraId="3C141455" w14:textId="77777777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A733E9">
        <w:rPr>
          <w:rFonts w:ascii="Times New Roman" w:hAnsi="Times New Roman"/>
          <w:b/>
          <w:bCs/>
          <w:i/>
          <w:iCs/>
          <w:w w:val="105"/>
          <w:sz w:val="24"/>
          <w:szCs w:val="24"/>
        </w:rPr>
        <w:t>Excepción para instituciones de reciente creación</w:t>
      </w: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 xml:space="preserve">: Se encuentran exentas del cumplimiento del porcentaje de contratación de servicios ocasionales establecido en la </w:t>
      </w:r>
      <w:r w:rsidRPr="006A611D">
        <w:rPr>
          <w:rFonts w:ascii="Times New Roman" w:hAnsi="Times New Roman"/>
          <w:i/>
          <w:iCs/>
          <w:w w:val="105"/>
          <w:sz w:val="24"/>
          <w:szCs w:val="24"/>
        </w:rPr>
        <w:lastRenderedPageBreak/>
        <w:t>LOSEP, aquellas instituciones u organismos de reciente creación hasta el cumplimiento de un año de conformidad a lo determinado en el literal a) del artículo 3 del Acuerdo Nro. MDT-2019-375 (Directrices para la Optimización de Gastos de Personal en la Modalidad de contrato de Servicios Ocasionales).</w:t>
      </w:r>
    </w:p>
    <w:p w14:paraId="72C744A4" w14:textId="5CB99EB5" w:rsidR="006A611D" w:rsidRPr="006A611D" w:rsidRDefault="006A611D" w:rsidP="006A611D">
      <w:pPr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A611D">
        <w:rPr>
          <w:rFonts w:ascii="Times New Roman" w:hAnsi="Times New Roman"/>
          <w:i/>
          <w:iCs/>
          <w:w w:val="105"/>
          <w:sz w:val="24"/>
          <w:szCs w:val="24"/>
        </w:rPr>
        <w:t>Por lo que no requerirán autorización del MDT, hasta el cumplimiento de dicho plazo, posterior a lo cual, las referidas instituciones no podrán sobrepasar el 20% de la totalidad de su personal en la contratación de personal ocasional y en el caso de superar deberán solicitar la autorización previa del MDT, únicamente por aquellas circunstancias que no dependan o dependieron de la institución y que le obliguen extraordinaria y justificadamente a sobrepasar dicho porcentaje.</w:t>
      </w:r>
    </w:p>
    <w:p w14:paraId="7318D9A9" w14:textId="77777777" w:rsidR="006A611D" w:rsidRPr="006A611D" w:rsidRDefault="006A611D" w:rsidP="006A611D">
      <w:pPr>
        <w:ind w:left="1" w:right="135"/>
        <w:jc w:val="both"/>
        <w:rPr>
          <w:i/>
          <w:iCs/>
          <w:sz w:val="24"/>
        </w:rPr>
      </w:pPr>
      <w:r w:rsidRPr="006A611D">
        <w:rPr>
          <w:b/>
          <w:i/>
          <w:iCs/>
          <w:sz w:val="24"/>
        </w:rPr>
        <w:t>Denominaciones de</w:t>
      </w:r>
      <w:r w:rsidRPr="006A611D">
        <w:rPr>
          <w:b/>
          <w:i/>
          <w:iCs/>
          <w:spacing w:val="-1"/>
          <w:sz w:val="24"/>
        </w:rPr>
        <w:t xml:space="preserve"> </w:t>
      </w:r>
      <w:r w:rsidRPr="006A611D">
        <w:rPr>
          <w:b/>
          <w:i/>
          <w:iCs/>
          <w:sz w:val="24"/>
        </w:rPr>
        <w:t>puestos</w:t>
      </w:r>
      <w:r w:rsidRPr="006A611D">
        <w:rPr>
          <w:b/>
          <w:i/>
          <w:iCs/>
          <w:spacing w:val="-1"/>
          <w:sz w:val="24"/>
        </w:rPr>
        <w:t xml:space="preserve"> </w:t>
      </w:r>
      <w:r w:rsidRPr="006A611D">
        <w:rPr>
          <w:b/>
          <w:i/>
          <w:iCs/>
          <w:sz w:val="24"/>
        </w:rPr>
        <w:t>sujetas</w:t>
      </w:r>
      <w:r w:rsidRPr="006A611D">
        <w:rPr>
          <w:b/>
          <w:i/>
          <w:iCs/>
          <w:spacing w:val="-1"/>
          <w:sz w:val="24"/>
        </w:rPr>
        <w:t xml:space="preserve"> </w:t>
      </w:r>
      <w:r w:rsidRPr="006A611D">
        <w:rPr>
          <w:b/>
          <w:i/>
          <w:iCs/>
          <w:sz w:val="24"/>
        </w:rPr>
        <w:t>al Código del Trabajo</w:t>
      </w:r>
      <w:r w:rsidRPr="006A611D">
        <w:rPr>
          <w:b/>
          <w:i/>
          <w:iCs/>
          <w:spacing w:val="-1"/>
          <w:sz w:val="24"/>
        </w:rPr>
        <w:t xml:space="preserve"> </w:t>
      </w:r>
      <w:r w:rsidRPr="006A611D">
        <w:rPr>
          <w:b/>
          <w:i/>
          <w:iCs/>
          <w:sz w:val="24"/>
        </w:rPr>
        <w:t>y distintas</w:t>
      </w:r>
      <w:r w:rsidRPr="006A611D">
        <w:rPr>
          <w:b/>
          <w:i/>
          <w:iCs/>
          <w:spacing w:val="-1"/>
          <w:sz w:val="24"/>
        </w:rPr>
        <w:t xml:space="preserve"> </w:t>
      </w:r>
      <w:r w:rsidRPr="006A611D">
        <w:rPr>
          <w:b/>
          <w:i/>
          <w:iCs/>
          <w:sz w:val="24"/>
        </w:rPr>
        <w:t xml:space="preserve">a las establecidas en el Manual de puestos institucional: </w:t>
      </w:r>
      <w:r w:rsidRPr="006A611D">
        <w:rPr>
          <w:i/>
          <w:iCs/>
          <w:sz w:val="24"/>
        </w:rPr>
        <w:t>El MDT previo análisis de la información remitida, no autorizará</w:t>
      </w:r>
      <w:r w:rsidRPr="006A611D">
        <w:rPr>
          <w:i/>
          <w:iCs/>
          <w:spacing w:val="-10"/>
          <w:sz w:val="24"/>
        </w:rPr>
        <w:t xml:space="preserve"> </w:t>
      </w:r>
      <w:r w:rsidRPr="006A611D">
        <w:rPr>
          <w:i/>
          <w:iCs/>
          <w:sz w:val="24"/>
        </w:rPr>
        <w:t>a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las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instituciones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sobrepasar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el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20%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de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la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totalidad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de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su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personal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en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la</w:t>
      </w:r>
      <w:r w:rsidRPr="006A611D">
        <w:rPr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contratación</w:t>
      </w:r>
      <w:r w:rsidRPr="006A611D">
        <w:rPr>
          <w:i/>
          <w:iCs/>
          <w:spacing w:val="-8"/>
          <w:sz w:val="24"/>
        </w:rPr>
        <w:t xml:space="preserve"> </w:t>
      </w:r>
      <w:r w:rsidRPr="006A611D">
        <w:rPr>
          <w:i/>
          <w:iCs/>
          <w:sz w:val="24"/>
        </w:rPr>
        <w:t>de personal ocasional, con denominaciones sujetas al Código del Trabajo o con denominaciones de puestos que no se evidencien en las establecidas en el Manual de Puestos institucional.</w:t>
      </w:r>
    </w:p>
    <w:p w14:paraId="1B63115F" w14:textId="535A9079" w:rsidR="006A611D" w:rsidRPr="006A611D" w:rsidRDefault="006A611D" w:rsidP="006A611D">
      <w:pPr>
        <w:spacing w:before="159"/>
        <w:ind w:left="1" w:right="138"/>
        <w:jc w:val="both"/>
        <w:rPr>
          <w:i/>
          <w:iCs/>
          <w:sz w:val="24"/>
        </w:rPr>
      </w:pPr>
      <w:r w:rsidRPr="006A611D">
        <w:rPr>
          <w:b/>
          <w:i/>
          <w:iCs/>
          <w:sz w:val="24"/>
        </w:rPr>
        <w:t>Autorización</w:t>
      </w:r>
      <w:r w:rsidRPr="006A611D">
        <w:rPr>
          <w:b/>
          <w:i/>
          <w:iCs/>
          <w:spacing w:val="-9"/>
          <w:sz w:val="24"/>
        </w:rPr>
        <w:t xml:space="preserve"> </w:t>
      </w:r>
      <w:r w:rsidRPr="006A611D">
        <w:rPr>
          <w:b/>
          <w:i/>
          <w:iCs/>
          <w:sz w:val="24"/>
        </w:rPr>
        <w:t>durante</w:t>
      </w:r>
      <w:r w:rsidRPr="006A611D">
        <w:rPr>
          <w:b/>
          <w:i/>
          <w:iCs/>
          <w:spacing w:val="-12"/>
          <w:sz w:val="24"/>
        </w:rPr>
        <w:t xml:space="preserve"> </w:t>
      </w:r>
      <w:r w:rsidRPr="006A611D">
        <w:rPr>
          <w:b/>
          <w:i/>
          <w:iCs/>
          <w:sz w:val="24"/>
        </w:rPr>
        <w:t>el</w:t>
      </w:r>
      <w:r w:rsidRPr="006A611D">
        <w:rPr>
          <w:b/>
          <w:i/>
          <w:iCs/>
          <w:spacing w:val="-10"/>
          <w:sz w:val="24"/>
        </w:rPr>
        <w:t xml:space="preserve"> </w:t>
      </w:r>
      <w:r w:rsidRPr="006A611D">
        <w:rPr>
          <w:b/>
          <w:i/>
          <w:iCs/>
          <w:sz w:val="24"/>
        </w:rPr>
        <w:t>ejercicio</w:t>
      </w:r>
      <w:r w:rsidRPr="006A611D">
        <w:rPr>
          <w:b/>
          <w:i/>
          <w:iCs/>
          <w:spacing w:val="-11"/>
          <w:sz w:val="24"/>
        </w:rPr>
        <w:t xml:space="preserve"> </w:t>
      </w:r>
      <w:r w:rsidRPr="006A611D">
        <w:rPr>
          <w:b/>
          <w:i/>
          <w:iCs/>
          <w:sz w:val="24"/>
        </w:rPr>
        <w:t>fiscal</w:t>
      </w:r>
      <w:r w:rsidRPr="006A611D">
        <w:rPr>
          <w:b/>
          <w:i/>
          <w:iCs/>
          <w:spacing w:val="-10"/>
          <w:sz w:val="24"/>
        </w:rPr>
        <w:t xml:space="preserve"> </w:t>
      </w:r>
      <w:r w:rsidRPr="006A611D">
        <w:rPr>
          <w:b/>
          <w:i/>
          <w:iCs/>
          <w:sz w:val="24"/>
        </w:rPr>
        <w:t>2025:</w:t>
      </w:r>
      <w:r w:rsidRPr="006A611D">
        <w:rPr>
          <w:b/>
          <w:i/>
          <w:iCs/>
          <w:spacing w:val="-9"/>
          <w:sz w:val="24"/>
        </w:rPr>
        <w:t xml:space="preserve"> </w:t>
      </w:r>
      <w:r w:rsidRPr="006A611D">
        <w:rPr>
          <w:i/>
          <w:iCs/>
          <w:sz w:val="24"/>
        </w:rPr>
        <w:t>El</w:t>
      </w:r>
      <w:r w:rsidRPr="006A611D">
        <w:rPr>
          <w:i/>
          <w:iCs/>
          <w:spacing w:val="-13"/>
          <w:sz w:val="24"/>
        </w:rPr>
        <w:t xml:space="preserve"> </w:t>
      </w:r>
      <w:r w:rsidRPr="006A611D">
        <w:rPr>
          <w:i/>
          <w:iCs/>
          <w:sz w:val="24"/>
        </w:rPr>
        <w:t>MDT</w:t>
      </w:r>
      <w:r w:rsidRPr="006A611D">
        <w:rPr>
          <w:i/>
          <w:iCs/>
          <w:spacing w:val="-11"/>
          <w:sz w:val="24"/>
        </w:rPr>
        <w:t xml:space="preserve"> </w:t>
      </w:r>
      <w:r w:rsidRPr="006A611D">
        <w:rPr>
          <w:i/>
          <w:iCs/>
          <w:sz w:val="24"/>
        </w:rPr>
        <w:t>autorizará</w:t>
      </w:r>
      <w:r w:rsidRPr="006A611D">
        <w:rPr>
          <w:i/>
          <w:iCs/>
          <w:spacing w:val="-12"/>
          <w:sz w:val="24"/>
        </w:rPr>
        <w:t xml:space="preserve"> </w:t>
      </w:r>
      <w:r w:rsidRPr="006A611D">
        <w:rPr>
          <w:i/>
          <w:iCs/>
          <w:sz w:val="24"/>
        </w:rPr>
        <w:t>a</w:t>
      </w:r>
      <w:r w:rsidRPr="006A611D">
        <w:rPr>
          <w:i/>
          <w:iCs/>
          <w:spacing w:val="-12"/>
          <w:sz w:val="24"/>
        </w:rPr>
        <w:t xml:space="preserve"> </w:t>
      </w:r>
      <w:r w:rsidRPr="006A611D">
        <w:rPr>
          <w:i/>
          <w:iCs/>
          <w:sz w:val="24"/>
        </w:rPr>
        <w:t>las</w:t>
      </w:r>
      <w:r w:rsidRPr="006A611D">
        <w:rPr>
          <w:i/>
          <w:iCs/>
          <w:spacing w:val="-11"/>
          <w:sz w:val="24"/>
        </w:rPr>
        <w:t xml:space="preserve"> </w:t>
      </w:r>
      <w:r w:rsidRPr="006A611D">
        <w:rPr>
          <w:i/>
          <w:iCs/>
          <w:sz w:val="24"/>
        </w:rPr>
        <w:t>instituciones</w:t>
      </w:r>
      <w:r w:rsidRPr="006A611D">
        <w:rPr>
          <w:i/>
          <w:iCs/>
          <w:spacing w:val="-11"/>
          <w:sz w:val="24"/>
        </w:rPr>
        <w:t xml:space="preserve"> </w:t>
      </w:r>
      <w:r w:rsidRPr="006A611D">
        <w:rPr>
          <w:i/>
          <w:iCs/>
          <w:sz w:val="24"/>
        </w:rPr>
        <w:t>por</w:t>
      </w:r>
      <w:r w:rsidRPr="006A611D">
        <w:rPr>
          <w:i/>
          <w:iCs/>
          <w:spacing w:val="-11"/>
          <w:sz w:val="24"/>
        </w:rPr>
        <w:t xml:space="preserve"> </w:t>
      </w:r>
      <w:r w:rsidRPr="006A611D">
        <w:rPr>
          <w:i/>
          <w:iCs/>
          <w:sz w:val="24"/>
        </w:rPr>
        <w:t>una</w:t>
      </w:r>
      <w:r w:rsidRPr="006A611D">
        <w:rPr>
          <w:i/>
          <w:iCs/>
          <w:spacing w:val="-12"/>
          <w:sz w:val="24"/>
        </w:rPr>
        <w:t xml:space="preserve"> </w:t>
      </w:r>
      <w:r w:rsidRPr="006A611D">
        <w:rPr>
          <w:i/>
          <w:iCs/>
          <w:sz w:val="24"/>
        </w:rPr>
        <w:t>sola vez durante el ejercicio fiscal 2025, sobrepasar el 20% de la totalidad de su personal en la contratación de personal ocasional”.</w:t>
      </w:r>
    </w:p>
    <w:p w14:paraId="31D327D2" w14:textId="5DBDEB5B" w:rsidR="009C1A0D" w:rsidRPr="00C5659E" w:rsidRDefault="005834E9" w:rsidP="006A611D">
      <w:pPr>
        <w:jc w:val="both"/>
        <w:rPr>
          <w:rFonts w:ascii="Times New Roman" w:hAnsi="Times New Roman"/>
          <w:sz w:val="24"/>
          <w:szCs w:val="24"/>
        </w:rPr>
      </w:pPr>
      <w:r w:rsidRPr="00C5659E">
        <w:rPr>
          <w:rFonts w:ascii="Times New Roman" w:hAnsi="Times New Roman"/>
          <w:sz w:val="24"/>
          <w:szCs w:val="24"/>
        </w:rPr>
        <w:t xml:space="preserve">En </w:t>
      </w:r>
      <w:r w:rsidR="0024186D">
        <w:rPr>
          <w:rFonts w:ascii="Times New Roman" w:hAnsi="Times New Roman"/>
          <w:sz w:val="24"/>
          <w:szCs w:val="24"/>
        </w:rPr>
        <w:t>ese</w:t>
      </w:r>
      <w:r w:rsidRPr="00C5659E">
        <w:rPr>
          <w:rFonts w:ascii="Times New Roman" w:hAnsi="Times New Roman"/>
          <w:sz w:val="24"/>
          <w:szCs w:val="24"/>
        </w:rPr>
        <w:t xml:space="preserve"> sentido</w:t>
      </w:r>
      <w:r w:rsidR="00C5659E" w:rsidRPr="00C5659E">
        <w:rPr>
          <w:rFonts w:ascii="Times New Roman" w:hAnsi="Times New Roman"/>
          <w:sz w:val="24"/>
          <w:szCs w:val="24"/>
        </w:rPr>
        <w:t xml:space="preserve">, </w:t>
      </w:r>
      <w:r w:rsidR="009C1A0D" w:rsidRPr="00C5659E">
        <w:rPr>
          <w:rFonts w:ascii="Times New Roman" w:hAnsi="Times New Roman"/>
          <w:sz w:val="24"/>
          <w:szCs w:val="24"/>
        </w:rPr>
        <w:t xml:space="preserve">esta institución bajo su exclusiva responsabilidad, </w:t>
      </w:r>
      <w:r w:rsidR="00C5659E" w:rsidRPr="00C5659E">
        <w:rPr>
          <w:rFonts w:ascii="Times New Roman" w:hAnsi="Times New Roman"/>
          <w:sz w:val="24"/>
          <w:szCs w:val="24"/>
        </w:rPr>
        <w:t xml:space="preserve">previo el cumplimiento de todos los requisitos establecidos en el numeral </w:t>
      </w:r>
      <w:r w:rsidR="006A611D">
        <w:rPr>
          <w:rFonts w:ascii="Times New Roman" w:hAnsi="Times New Roman"/>
          <w:sz w:val="24"/>
          <w:szCs w:val="24"/>
        </w:rPr>
        <w:t>4</w:t>
      </w:r>
      <w:r w:rsidR="00C5659E" w:rsidRPr="00C5659E">
        <w:rPr>
          <w:rFonts w:ascii="Times New Roman" w:hAnsi="Times New Roman"/>
          <w:sz w:val="24"/>
          <w:szCs w:val="24"/>
        </w:rPr>
        <w:t xml:space="preserve"> de los citados Lineamientos, </w:t>
      </w:r>
      <w:r w:rsidR="00A733E9">
        <w:rPr>
          <w:rFonts w:ascii="Times New Roman" w:hAnsi="Times New Roman"/>
          <w:sz w:val="24"/>
          <w:szCs w:val="24"/>
        </w:rPr>
        <w:t>solicita</w:t>
      </w:r>
      <w:r w:rsidR="00A733E9" w:rsidRPr="00A733E9">
        <w:rPr>
          <w:rFonts w:ascii="Times New Roman" w:hAnsi="Times New Roman"/>
          <w:sz w:val="24"/>
          <w:szCs w:val="24"/>
        </w:rPr>
        <w:t xml:space="preserve"> autorización para sobrepasar el 20% de la totalidad del personal para la contratación de personal ocasional que ejecutará actividades no permanentes </w:t>
      </w:r>
      <w:r w:rsidR="007A653F">
        <w:rPr>
          <w:rFonts w:ascii="Times New Roman" w:hAnsi="Times New Roman"/>
          <w:sz w:val="24"/>
          <w:szCs w:val="24"/>
        </w:rPr>
        <w:t xml:space="preserve">conforme la información detallada en la </w:t>
      </w:r>
      <w:r w:rsidR="007A653F" w:rsidRPr="007A653F">
        <w:rPr>
          <w:rFonts w:ascii="Times New Roman" w:hAnsi="Times New Roman"/>
          <w:sz w:val="24"/>
          <w:szCs w:val="24"/>
        </w:rPr>
        <w:t>Matriz determinación 20%, detalle de contratos y cronograma en formato Excel</w:t>
      </w:r>
      <w:r w:rsidR="00C5659E" w:rsidRPr="00C5659E">
        <w:rPr>
          <w:rFonts w:ascii="Times New Roman" w:hAnsi="Times New Roman"/>
          <w:sz w:val="24"/>
          <w:szCs w:val="24"/>
          <w:lang w:val="es-ES"/>
        </w:rPr>
        <w:t>,</w:t>
      </w:r>
      <w:r w:rsidR="00C5659E" w:rsidRPr="00C5659E">
        <w:rPr>
          <w:rFonts w:ascii="Times New Roman" w:hAnsi="Times New Roman"/>
          <w:sz w:val="24"/>
          <w:szCs w:val="24"/>
        </w:rPr>
        <w:t xml:space="preserve"> adjunta.</w:t>
      </w:r>
    </w:p>
    <w:p w14:paraId="795D596C" w14:textId="66B83632" w:rsidR="00824908" w:rsidRDefault="005834E9" w:rsidP="005834E9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59E">
        <w:rPr>
          <w:rFonts w:ascii="Times New Roman" w:hAnsi="Times New Roman"/>
          <w:sz w:val="24"/>
          <w:szCs w:val="24"/>
        </w:rPr>
        <w:t xml:space="preserve">Para el efecto </w:t>
      </w:r>
      <w:r w:rsidR="00C5659E" w:rsidRPr="00C5659E">
        <w:rPr>
          <w:rFonts w:ascii="Times New Roman" w:hAnsi="Times New Roman"/>
          <w:sz w:val="24"/>
          <w:szCs w:val="24"/>
        </w:rPr>
        <w:t>se adjunta</w:t>
      </w:r>
      <w:r w:rsidR="00824908">
        <w:rPr>
          <w:rFonts w:ascii="Times New Roman" w:hAnsi="Times New Roman"/>
          <w:sz w:val="24"/>
          <w:szCs w:val="24"/>
        </w:rPr>
        <w:t>,</w:t>
      </w:r>
      <w:r w:rsidR="00C5659E" w:rsidRPr="00C5659E">
        <w:rPr>
          <w:rFonts w:ascii="Times New Roman" w:hAnsi="Times New Roman"/>
          <w:sz w:val="24"/>
          <w:szCs w:val="24"/>
        </w:rPr>
        <w:t xml:space="preserve"> además</w:t>
      </w:r>
      <w:r w:rsidR="00824908">
        <w:rPr>
          <w:rFonts w:ascii="Times New Roman" w:hAnsi="Times New Roman"/>
          <w:sz w:val="24"/>
          <w:szCs w:val="24"/>
        </w:rPr>
        <w:t>:</w:t>
      </w:r>
    </w:p>
    <w:p w14:paraId="0A20C656" w14:textId="5BE61828" w:rsidR="007A653F" w:rsidRPr="005D1857" w:rsidRDefault="007A653F" w:rsidP="007A653F">
      <w:pPr>
        <w:pStyle w:val="Prrafodelista"/>
        <w:numPr>
          <w:ilvl w:val="0"/>
          <w:numId w:val="10"/>
        </w:numPr>
        <w:spacing w:line="276" w:lineRule="auto"/>
        <w:jc w:val="both"/>
      </w:pPr>
      <w:r w:rsidRPr="005D1857">
        <w:t>Informe técnico suscrito por el responsable de la UATH institucional,</w:t>
      </w:r>
      <w:r w:rsidR="005D1857" w:rsidRPr="005D1857">
        <w:t xml:space="preserve"> a través del cual </w:t>
      </w:r>
      <w:r w:rsidR="005D1857">
        <w:t xml:space="preserve">se </w:t>
      </w:r>
      <w:r w:rsidRPr="005D1857">
        <w:t>justifi</w:t>
      </w:r>
      <w:r w:rsidR="005D1857" w:rsidRPr="005D1857">
        <w:t>c</w:t>
      </w:r>
      <w:r w:rsidR="005D1857">
        <w:t xml:space="preserve">ó </w:t>
      </w:r>
      <w:r w:rsidRPr="005D1857">
        <w:t xml:space="preserve">clara y específicamente las circunstancias que no dependan o dependieron de </w:t>
      </w:r>
      <w:r w:rsidR="005D1857" w:rsidRPr="005D1857">
        <w:t>esta</w:t>
      </w:r>
      <w:r w:rsidRPr="005D1857">
        <w:t xml:space="preserve"> institución y que le oblig</w:t>
      </w:r>
      <w:r w:rsidR="005D1857" w:rsidRPr="005D1857">
        <w:t>a</w:t>
      </w:r>
      <w:r w:rsidRPr="005D1857">
        <w:t>n de manera extraordinaria a sobrepasar dicho porcentaje, conforme el formato dispuesto por el MDT.</w:t>
      </w:r>
    </w:p>
    <w:p w14:paraId="4B13E892" w14:textId="55EE16A1" w:rsidR="007A653F" w:rsidRPr="005D1857" w:rsidRDefault="007A653F" w:rsidP="007A653F">
      <w:pPr>
        <w:pStyle w:val="Prrafodelista"/>
        <w:numPr>
          <w:ilvl w:val="0"/>
          <w:numId w:val="10"/>
        </w:numPr>
        <w:spacing w:line="276" w:lineRule="auto"/>
        <w:jc w:val="both"/>
      </w:pPr>
      <w:r w:rsidRPr="005D1857">
        <w:t xml:space="preserve">Memorando a través del cual, la máxima autoridad </w:t>
      </w:r>
      <w:r w:rsidR="001E6926">
        <w:t xml:space="preserve">o su delegado </w:t>
      </w:r>
      <w:r w:rsidRPr="005D1857">
        <w:t>autorizó el informe técnico antes citado.</w:t>
      </w:r>
    </w:p>
    <w:p w14:paraId="7B53CF03" w14:textId="77777777" w:rsidR="007A653F" w:rsidRPr="005D1857" w:rsidRDefault="007A653F" w:rsidP="007A653F">
      <w:pPr>
        <w:pStyle w:val="Prrafodelista"/>
        <w:numPr>
          <w:ilvl w:val="0"/>
          <w:numId w:val="10"/>
        </w:numPr>
        <w:spacing w:line="276" w:lineRule="auto"/>
        <w:jc w:val="both"/>
      </w:pPr>
      <w:r w:rsidRPr="005D1857">
        <w:t>Matriz determinación 20%, detalle de contratos y cronograma en formato Excel.</w:t>
      </w:r>
    </w:p>
    <w:p w14:paraId="64C0194B" w14:textId="43B113DD" w:rsidR="007A653F" w:rsidRPr="00047933" w:rsidRDefault="007A653F" w:rsidP="007A653F">
      <w:pPr>
        <w:pStyle w:val="Prrafodelista"/>
        <w:numPr>
          <w:ilvl w:val="0"/>
          <w:numId w:val="10"/>
        </w:numPr>
        <w:spacing w:line="276" w:lineRule="auto"/>
        <w:jc w:val="both"/>
        <w:rPr>
          <w:i/>
          <w:iCs/>
        </w:rPr>
      </w:pPr>
      <w:r w:rsidRPr="005D1857">
        <w:t>La certificación presupuestaria para exceder el 20% de contratos de servicios ocasionales emitida por el MEF. Para las instituciones que se encuentran fuera del Presupuesto General del Estado (instituciones de la seguridad social y del sector financiero público o banca pública), será necesario únicamente la disponibilidad y certificación presupuestaria emitida por la Dirección Financiera o quien hiciera de sus</w:t>
      </w:r>
      <w:r w:rsidRPr="00047933">
        <w:rPr>
          <w:i/>
          <w:iCs/>
        </w:rPr>
        <w:t xml:space="preserve"> veces, considerando para el efecto las normas de optimización del gasto público establecidas en el Decreto Ejecutivo No. 457.</w:t>
      </w:r>
    </w:p>
    <w:p w14:paraId="1AA7BC87" w14:textId="77777777" w:rsidR="005834E9" w:rsidRPr="00C5659E" w:rsidRDefault="005834E9" w:rsidP="005834E9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487051" w14:textId="45642CA2" w:rsidR="0024186D" w:rsidRPr="00DD2D44" w:rsidRDefault="0024186D" w:rsidP="0024186D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s-EC"/>
        </w:rPr>
        <w:lastRenderedPageBreak/>
        <w:t>Finalmente, me</w:t>
      </w:r>
      <w:r w:rsidR="00C5659E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 permito </w:t>
      </w:r>
      <w:r w:rsidR="005834E9" w:rsidRPr="00C5659E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indicar que </w:t>
      </w:r>
      <w:r w:rsidR="00DD2D44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los actos administrativos efectuados previamente por esta </w:t>
      </w:r>
      <w:r w:rsidR="00F87554">
        <w:rPr>
          <w:rFonts w:ascii="Times New Roman" w:hAnsi="Times New Roman"/>
          <w:bCs/>
          <w:color w:val="000000"/>
          <w:sz w:val="24"/>
          <w:szCs w:val="24"/>
          <w:lang w:eastAsia="es-EC"/>
        </w:rPr>
        <w:t>institución</w:t>
      </w:r>
      <w:r w:rsidR="00DD2D44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; así como las demás acciones efectuadas en relación de los </w:t>
      </w:r>
      <w:r w:rsidR="00DD2D44" w:rsidRPr="00C5659E">
        <w:rPr>
          <w:rFonts w:ascii="Times New Roman" w:hAnsi="Times New Roman"/>
          <w:sz w:val="24"/>
          <w:szCs w:val="24"/>
        </w:rPr>
        <w:t>contratos de servicios ocasionales operativos detallados</w:t>
      </w:r>
      <w:r w:rsidR="00DD2D44">
        <w:rPr>
          <w:rFonts w:ascii="Times New Roman" w:hAnsi="Times New Roman"/>
          <w:sz w:val="24"/>
          <w:szCs w:val="24"/>
        </w:rPr>
        <w:t xml:space="preserve"> en la referida Matriz; y, </w:t>
      </w:r>
      <w:r w:rsidR="00DD2D44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la </w:t>
      </w:r>
      <w:r w:rsidR="005834E9" w:rsidRPr="00C5659E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veracidad y legalidad de la información contenida en el presente </w:t>
      </w:r>
      <w:r w:rsidR="00C5659E">
        <w:rPr>
          <w:rFonts w:ascii="Times New Roman" w:hAnsi="Times New Roman"/>
          <w:bCs/>
          <w:color w:val="000000"/>
          <w:sz w:val="24"/>
          <w:szCs w:val="24"/>
          <w:lang w:eastAsia="es-EC"/>
        </w:rPr>
        <w:t>documento</w:t>
      </w:r>
      <w:r w:rsidR="005834E9" w:rsidRPr="00C5659E">
        <w:rPr>
          <w:rFonts w:ascii="Times New Roman" w:hAnsi="Times New Roman"/>
          <w:bCs/>
          <w:color w:val="000000"/>
          <w:sz w:val="24"/>
          <w:szCs w:val="24"/>
          <w:lang w:eastAsia="es-EC"/>
        </w:rPr>
        <w:t xml:space="preserve">, así como también de sus anexos, en aplicación a lo dispuesto en la </w:t>
      </w:r>
      <w:r w:rsidRPr="004F419C">
        <w:rPr>
          <w:rFonts w:ascii="Times New Roman" w:hAnsi="Times New Roman"/>
          <w:sz w:val="24"/>
          <w:szCs w:val="24"/>
          <w:lang w:val="es-ES"/>
        </w:rPr>
        <w:t>LOSEP, su Reglamento, demás cuerpos legales aplicables y</w:t>
      </w:r>
      <w:r w:rsidR="005F7331">
        <w:rPr>
          <w:rFonts w:ascii="Times New Roman" w:hAnsi="Times New Roman"/>
          <w:sz w:val="24"/>
          <w:szCs w:val="24"/>
          <w:lang w:val="es-ES"/>
        </w:rPr>
        <w:t xml:space="preserve"> de los citados </w:t>
      </w:r>
      <w:r w:rsidR="005F7331">
        <w:rPr>
          <w:rFonts w:ascii="Times New Roman" w:hAnsi="Times New Roman"/>
          <w:sz w:val="24"/>
          <w:szCs w:val="24"/>
        </w:rPr>
        <w:t>L</w:t>
      </w:r>
      <w:r w:rsidR="005F7331" w:rsidRPr="00C5659E">
        <w:rPr>
          <w:rFonts w:ascii="Times New Roman" w:hAnsi="Times New Roman"/>
          <w:sz w:val="24"/>
          <w:szCs w:val="24"/>
        </w:rPr>
        <w:t>ineamientos</w:t>
      </w:r>
      <w:r w:rsidR="005F7331">
        <w:rPr>
          <w:rFonts w:ascii="Times New Roman" w:hAnsi="Times New Roman"/>
          <w:sz w:val="24"/>
          <w:szCs w:val="24"/>
        </w:rPr>
        <w:t xml:space="preserve">, </w:t>
      </w:r>
      <w:r w:rsidRPr="004F419C">
        <w:rPr>
          <w:rFonts w:ascii="Times New Roman" w:hAnsi="Times New Roman"/>
          <w:sz w:val="24"/>
          <w:szCs w:val="24"/>
          <w:lang w:val="es-ES"/>
        </w:rPr>
        <w:t>s</w:t>
      </w:r>
      <w:r w:rsidR="00DD2D44">
        <w:rPr>
          <w:rFonts w:ascii="Times New Roman" w:hAnsi="Times New Roman"/>
          <w:sz w:val="24"/>
          <w:szCs w:val="24"/>
          <w:lang w:val="es-ES"/>
        </w:rPr>
        <w:t>on de exclusiva responsabilidad de esta institución.</w:t>
      </w:r>
    </w:p>
    <w:p w14:paraId="3B711E05" w14:textId="77777777" w:rsidR="00AB17A1" w:rsidRDefault="00AB17A1" w:rsidP="00AB17A1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yellow"/>
          <w:lang w:eastAsia="es-EC"/>
        </w:rPr>
        <w:t>Quien suscribe fue delegado por parte de la máxima autoridad, para efectuar la presente solicitud. (</w:t>
      </w:r>
      <w:r>
        <w:rPr>
          <w:rFonts w:ascii="Times New Roman" w:hAnsi="Times New Roman"/>
          <w:sz w:val="24"/>
          <w:szCs w:val="24"/>
          <w:highlight w:val="yellow"/>
          <w:lang w:val="es-ES"/>
        </w:rPr>
        <w:t>APLICA ÚNICAMENTE EN EL CASO DE QUE LA SOLICITUD NO SEA EFECTUADA POR LA MÁXIMA AUTORIDAD, SINO POR SU DELEGADO INSTITUCIONAL</w:t>
      </w:r>
      <w:r>
        <w:rPr>
          <w:rFonts w:ascii="Times New Roman" w:hAnsi="Times New Roman"/>
          <w:sz w:val="24"/>
          <w:szCs w:val="24"/>
          <w:lang w:val="es-ES"/>
        </w:rPr>
        <w:t xml:space="preserve">). </w:t>
      </w:r>
    </w:p>
    <w:p w14:paraId="0992C1EB" w14:textId="6D09BEA5" w:rsidR="0024186D" w:rsidRDefault="0024186D" w:rsidP="005834E9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s-EC"/>
        </w:rPr>
      </w:pPr>
    </w:p>
    <w:p w14:paraId="75441346" w14:textId="77777777" w:rsidR="0024186D" w:rsidRDefault="0024186D" w:rsidP="005834E9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s-EC"/>
        </w:rPr>
      </w:pPr>
    </w:p>
    <w:bookmarkEnd w:id="0"/>
    <w:p w14:paraId="2FF84037" w14:textId="6C05AAF8" w:rsidR="005834E9" w:rsidRPr="00C5659E" w:rsidRDefault="005834E9" w:rsidP="005834E9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s-EC"/>
        </w:rPr>
      </w:pPr>
    </w:p>
    <w:sectPr w:rsidR="005834E9" w:rsidRPr="00C5659E" w:rsidSect="00964DCF">
      <w:headerReference w:type="even" r:id="rId8"/>
      <w:footerReference w:type="default" r:id="rId9"/>
      <w:headerReference w:type="first" r:id="rId10"/>
      <w:pgSz w:w="11906" w:h="16838"/>
      <w:pgMar w:top="212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0E1A" w14:textId="77777777" w:rsidR="00CE2D4F" w:rsidRDefault="00CE2D4F">
      <w:pPr>
        <w:spacing w:after="0" w:line="240" w:lineRule="auto"/>
      </w:pPr>
      <w:r>
        <w:separator/>
      </w:r>
    </w:p>
  </w:endnote>
  <w:endnote w:type="continuationSeparator" w:id="0">
    <w:p w14:paraId="747A84E0" w14:textId="77777777" w:rsidR="00CE2D4F" w:rsidRDefault="00CE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FBB0" w14:textId="77777777" w:rsidR="00D05640" w:rsidRDefault="00F5059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93755A">
      <w:rPr>
        <w:noProof/>
        <w:lang w:val="es-ES"/>
      </w:rPr>
      <w:t>1</w:t>
    </w:r>
    <w:r>
      <w:fldChar w:fldCharType="end"/>
    </w:r>
  </w:p>
  <w:p w14:paraId="59035764" w14:textId="77777777" w:rsidR="00D0564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6A01" w14:textId="77777777" w:rsidR="00CE2D4F" w:rsidRDefault="00CE2D4F">
      <w:pPr>
        <w:spacing w:after="0" w:line="240" w:lineRule="auto"/>
      </w:pPr>
      <w:r>
        <w:separator/>
      </w:r>
    </w:p>
  </w:footnote>
  <w:footnote w:type="continuationSeparator" w:id="0">
    <w:p w14:paraId="74A23736" w14:textId="77777777" w:rsidR="00CE2D4F" w:rsidRDefault="00CE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3C0" w14:textId="77777777" w:rsidR="00D05640" w:rsidRDefault="00000000">
    <w:pPr>
      <w:pStyle w:val="Encabezado"/>
    </w:pPr>
    <w:r>
      <w:rPr>
        <w:noProof/>
      </w:rPr>
      <w:pict w14:anchorId="5651E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08079" o:spid="_x0000_s1026" type="#_x0000_t75" style="position:absolute;margin-left:0;margin-top:0;width:595.75pt;height:842pt;z-index:-251659264;mso-position-horizontal:center;mso-position-horizontal-relative:margin;mso-position-vertical:center;mso-position-vertical-relative:margin" o:allowincell="f">
          <v:imagedata r:id="rId1" o:title="Hojas membretadas_FormGeminis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57C" w14:textId="77777777" w:rsidR="00D05640" w:rsidRDefault="00000000">
    <w:pPr>
      <w:pStyle w:val="Encabezado"/>
    </w:pPr>
    <w:r>
      <w:rPr>
        <w:noProof/>
      </w:rPr>
      <w:pict w14:anchorId="1E2B2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08078" o:spid="_x0000_s102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membretadas_FormGeminis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7E2"/>
    <w:multiLevelType w:val="hybridMultilevel"/>
    <w:tmpl w:val="F3AA43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510"/>
    <w:multiLevelType w:val="hybridMultilevel"/>
    <w:tmpl w:val="586230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1CC2"/>
    <w:multiLevelType w:val="hybridMultilevel"/>
    <w:tmpl w:val="E2E2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098F"/>
    <w:multiLevelType w:val="hybridMultilevel"/>
    <w:tmpl w:val="10D04C8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225B7"/>
    <w:multiLevelType w:val="hybridMultilevel"/>
    <w:tmpl w:val="A8F67A14"/>
    <w:lvl w:ilvl="0" w:tplc="2E7CC4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2EF"/>
    <w:multiLevelType w:val="hybridMultilevel"/>
    <w:tmpl w:val="93000B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65561"/>
    <w:multiLevelType w:val="hybridMultilevel"/>
    <w:tmpl w:val="72DA79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E44C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B82A1D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4191576">
    <w:abstractNumId w:val="1"/>
  </w:num>
  <w:num w:numId="2" w16cid:durableId="1160661560">
    <w:abstractNumId w:val="3"/>
  </w:num>
  <w:num w:numId="3" w16cid:durableId="513422217">
    <w:abstractNumId w:val="6"/>
  </w:num>
  <w:num w:numId="4" w16cid:durableId="266619914">
    <w:abstractNumId w:val="0"/>
  </w:num>
  <w:num w:numId="5" w16cid:durableId="929580233">
    <w:abstractNumId w:val="2"/>
  </w:num>
  <w:num w:numId="6" w16cid:durableId="1069769688">
    <w:abstractNumId w:val="8"/>
  </w:num>
  <w:num w:numId="7" w16cid:durableId="1700468207">
    <w:abstractNumId w:val="7"/>
  </w:num>
  <w:num w:numId="8" w16cid:durableId="126632846">
    <w:abstractNumId w:val="6"/>
  </w:num>
  <w:num w:numId="9" w16cid:durableId="666249401">
    <w:abstractNumId w:val="4"/>
  </w:num>
  <w:num w:numId="10" w16cid:durableId="209015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C"/>
    <w:rsid w:val="00047933"/>
    <w:rsid w:val="000B3CD2"/>
    <w:rsid w:val="00124B4A"/>
    <w:rsid w:val="0016226C"/>
    <w:rsid w:val="001E6926"/>
    <w:rsid w:val="0023293E"/>
    <w:rsid w:val="0024186D"/>
    <w:rsid w:val="002A3DBC"/>
    <w:rsid w:val="00327C0F"/>
    <w:rsid w:val="00340628"/>
    <w:rsid w:val="00345F7A"/>
    <w:rsid w:val="004B7B7E"/>
    <w:rsid w:val="005834E9"/>
    <w:rsid w:val="005D1857"/>
    <w:rsid w:val="005F7331"/>
    <w:rsid w:val="006A611D"/>
    <w:rsid w:val="00716681"/>
    <w:rsid w:val="007A653F"/>
    <w:rsid w:val="007D376F"/>
    <w:rsid w:val="0081285C"/>
    <w:rsid w:val="00824908"/>
    <w:rsid w:val="0096294A"/>
    <w:rsid w:val="009C1A0D"/>
    <w:rsid w:val="00A70398"/>
    <w:rsid w:val="00A733E9"/>
    <w:rsid w:val="00AB17A1"/>
    <w:rsid w:val="00BB1530"/>
    <w:rsid w:val="00C5659E"/>
    <w:rsid w:val="00C616CC"/>
    <w:rsid w:val="00CA0585"/>
    <w:rsid w:val="00CE2D4F"/>
    <w:rsid w:val="00D91347"/>
    <w:rsid w:val="00DD2D44"/>
    <w:rsid w:val="00F2710C"/>
    <w:rsid w:val="00F4264F"/>
    <w:rsid w:val="00F50599"/>
    <w:rsid w:val="00F5469C"/>
    <w:rsid w:val="00F662B0"/>
    <w:rsid w:val="00F75318"/>
    <w:rsid w:val="00F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9364"/>
  <w15:chartTrackingRefBased/>
  <w15:docId w15:val="{BE395913-2DF2-4A6D-88C1-380468E9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2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2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26C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exto Car,List Paragraph1 Car,TIT 2 IND Car,Capítulo Car,cS List Paragraph Car,Bullet List Car,FooterText Car,numbered Car,Paragraphe de liste1 Car,lp1 Car,List Paragraph Car,Párrafo de lista2 Car,Párrafo de lista1 Car"/>
    <w:link w:val="Prrafodelista"/>
    <w:uiPriority w:val="1"/>
    <w:qFormat/>
    <w:locked/>
    <w:rsid w:val="0016226C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Texto,List Paragraph1,TIT 2 IND,Capítulo,cS List Paragraph,Bullet List,FooterText,numbered,Paragraphe de liste1,lp1,List Paragraph,Párrafo de lista2,Párrafo de lista1,Párrafo de lista ANEXO,cuadro ghf1,Lista vistosa - Énfasis 11"/>
    <w:basedOn w:val="Normal"/>
    <w:link w:val="PrrafodelistaCar"/>
    <w:uiPriority w:val="1"/>
    <w:qFormat/>
    <w:rsid w:val="001622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6226C"/>
    <w:pPr>
      <w:widowControl w:val="0"/>
      <w:autoSpaceDE w:val="0"/>
      <w:autoSpaceDN w:val="0"/>
      <w:adjustRightInd w:val="0"/>
      <w:spacing w:after="0" w:line="275" w:lineRule="exact"/>
      <w:ind w:hanging="336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62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18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86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8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86D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926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6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E2B2-5377-4ABC-8B1C-19B89E1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Jeanina Salomé Riofrío Naranjo</dc:creator>
  <cp:keywords/>
  <dc:description/>
  <cp:lastModifiedBy>Jeanina Salomé Riofrío Naranjo</cp:lastModifiedBy>
  <cp:revision>2</cp:revision>
  <dcterms:created xsi:type="dcterms:W3CDTF">2025-01-20T17:01:00Z</dcterms:created>
  <dcterms:modified xsi:type="dcterms:W3CDTF">2025-01-20T17:01:00Z</dcterms:modified>
</cp:coreProperties>
</file>