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10C" w:rsidRDefault="00F2710C" w:rsidP="00F2710C">
      <w:pPr>
        <w:spacing w:after="0" w:line="276" w:lineRule="auto"/>
        <w:jc w:val="both"/>
        <w:rPr>
          <w:rFonts w:ascii="Arial" w:hAnsi="Arial" w:cs="Arial"/>
        </w:rPr>
      </w:pPr>
      <w:bookmarkStart w:id="0" w:name="_Hlk155172817"/>
      <w:r>
        <w:rPr>
          <w:rFonts w:ascii="Arial" w:hAnsi="Arial" w:cs="Arial"/>
        </w:rPr>
        <w:t xml:space="preserve">Asunto: </w:t>
      </w:r>
      <w:r>
        <w:rPr>
          <w:rFonts w:ascii="Arial" w:hAnsi="Arial" w:cs="Arial"/>
        </w:rPr>
        <w:t>S</w:t>
      </w:r>
      <w:r w:rsidRPr="00F2710C">
        <w:rPr>
          <w:rFonts w:ascii="Arial" w:hAnsi="Arial" w:cs="Arial"/>
        </w:rPr>
        <w:t>olicitud de registro de contrato de servicios ocasionales bajo la figura de renovaciones</w:t>
      </w:r>
      <w:r>
        <w:rPr>
          <w:rFonts w:ascii="Arial" w:hAnsi="Arial" w:cs="Arial"/>
        </w:rPr>
        <w:t xml:space="preserve"> / (NOMBRE DE LA ENTIDAD)</w:t>
      </w:r>
    </w:p>
    <w:p w:rsidR="00F2710C" w:rsidRDefault="00F2710C" w:rsidP="00F2710C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F2710C" w:rsidRDefault="00F2710C" w:rsidP="00F2710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referencia al numeral 5.</w:t>
      </w:r>
      <w:r>
        <w:rPr>
          <w:rFonts w:ascii="Arial" w:hAnsi="Arial" w:cs="Arial"/>
        </w:rPr>
        <w:t>2 y 5.2.1</w:t>
      </w:r>
      <w:r>
        <w:rPr>
          <w:rFonts w:ascii="Arial" w:hAnsi="Arial" w:cs="Arial"/>
        </w:rPr>
        <w:t xml:space="preserve"> de los Oficios Circulares Nro. MDT-DGDA-2023-0029-C y</w:t>
      </w:r>
      <w:r>
        <w:t xml:space="preserve"> </w:t>
      </w:r>
      <w:r>
        <w:rPr>
          <w:rFonts w:ascii="Arial" w:hAnsi="Arial" w:cs="Arial"/>
        </w:rPr>
        <w:t>MDT-DGDA-2023-0030-C de 28 de diciembre de 2023, a través de los cuales se emitió los Lineamientos para la elaboración de la planificación de talento humano, contratos ocasionales operativos NJS y excepciones del 20% durante el ejercicio fiscal 2024, en el cual señal lo siguiente:</w:t>
      </w:r>
    </w:p>
    <w:p w:rsidR="00F2710C" w:rsidRDefault="00F2710C" w:rsidP="00F2710C">
      <w:pPr>
        <w:spacing w:after="0" w:line="276" w:lineRule="auto"/>
        <w:jc w:val="both"/>
        <w:rPr>
          <w:rFonts w:ascii="Arial" w:hAnsi="Arial" w:cs="Arial"/>
        </w:rPr>
      </w:pPr>
    </w:p>
    <w:p w:rsidR="00F2710C" w:rsidRDefault="00F2710C" w:rsidP="00F2710C">
      <w:pPr>
        <w:spacing w:line="276" w:lineRule="auto"/>
        <w:contextualSpacing/>
        <w:jc w:val="both"/>
        <w:rPr>
          <w:rFonts w:ascii="Arial" w:hAnsi="Arial" w:cs="Arial"/>
          <w:i/>
          <w:noProof/>
          <w:color w:val="000000"/>
        </w:rPr>
      </w:pPr>
      <w:r>
        <w:rPr>
          <w:rFonts w:ascii="Arial" w:hAnsi="Arial" w:cs="Arial"/>
        </w:rPr>
        <w:t>“</w:t>
      </w:r>
      <w:r w:rsidRPr="00327C0F">
        <w:rPr>
          <w:rFonts w:ascii="Arial" w:hAnsi="Arial" w:cs="Arial"/>
          <w:i/>
          <w:noProof/>
          <w:color w:val="000000"/>
        </w:rPr>
        <w:t>5.2. Renovación de Contratos de Servicios Ocasionales</w:t>
      </w:r>
    </w:p>
    <w:p w:rsidR="00F2710C" w:rsidRPr="00327C0F" w:rsidRDefault="00F2710C" w:rsidP="00F2710C">
      <w:pPr>
        <w:spacing w:line="276" w:lineRule="auto"/>
        <w:contextualSpacing/>
        <w:jc w:val="both"/>
        <w:rPr>
          <w:rFonts w:ascii="Arial" w:hAnsi="Arial" w:cs="Arial"/>
          <w:i/>
          <w:noProof/>
          <w:color w:val="000000"/>
        </w:rPr>
      </w:pPr>
    </w:p>
    <w:p w:rsidR="00F2710C" w:rsidRDefault="00F2710C" w:rsidP="00F2710C">
      <w:pPr>
        <w:spacing w:line="276" w:lineRule="auto"/>
        <w:contextualSpacing/>
        <w:jc w:val="both"/>
        <w:rPr>
          <w:rFonts w:ascii="Arial" w:hAnsi="Arial" w:cs="Arial"/>
          <w:i/>
          <w:noProof/>
          <w:color w:val="000000"/>
        </w:rPr>
      </w:pPr>
      <w:r w:rsidRPr="00327C0F">
        <w:rPr>
          <w:rFonts w:ascii="Arial" w:hAnsi="Arial" w:cs="Arial"/>
          <w:i/>
          <w:noProof/>
          <w:color w:val="000000"/>
        </w:rPr>
        <w:t>5.2.1. Renovación directa.- Los contratos de servicios ocasionales autorizados por el Ministerio del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Trabajo durante el año 2023, en aplicación del artículo 7 del Acuerdo Ministerial No. MDT-2019-0375,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de 5 de diciembre de 2019, podrán ser renovados directamente por la institución bajo su exclusiva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responsabilidad, únicamente en enero del 2024; siempre y cuando no hayan cumplido aún con el plazo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máximo de duración establecido en el artículo 58 de la LOSEP (12 meses); estos contratos no podrán ser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prorrogados salvo los casos establecidos en la ley. El proceso de renovación será únicamente por el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período que les reste hasta cumplir el plazo máximo de 12 meses, deberán ser reportados a esta cartera de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Estado, hasta el 15 de enero del 2024.</w:t>
      </w:r>
    </w:p>
    <w:p w:rsidR="00F2710C" w:rsidRDefault="00F2710C" w:rsidP="00F2710C">
      <w:pPr>
        <w:spacing w:line="276" w:lineRule="auto"/>
        <w:contextualSpacing/>
        <w:jc w:val="both"/>
        <w:rPr>
          <w:rFonts w:ascii="Arial" w:hAnsi="Arial" w:cs="Arial"/>
          <w:i/>
          <w:noProof/>
          <w:color w:val="000000"/>
        </w:rPr>
      </w:pPr>
    </w:p>
    <w:p w:rsidR="00F2710C" w:rsidRPr="00F2710C" w:rsidRDefault="00F2710C" w:rsidP="00F2710C">
      <w:pPr>
        <w:spacing w:line="276" w:lineRule="auto"/>
        <w:contextualSpacing/>
        <w:jc w:val="both"/>
        <w:rPr>
          <w:rFonts w:ascii="Arial" w:hAnsi="Arial" w:cs="Arial"/>
          <w:i/>
          <w:noProof/>
          <w:color w:val="000000"/>
        </w:rPr>
      </w:pPr>
      <w:r w:rsidRPr="00327C0F">
        <w:rPr>
          <w:rFonts w:ascii="Arial" w:hAnsi="Arial" w:cs="Arial"/>
          <w:i/>
          <w:noProof/>
          <w:color w:val="000000"/>
        </w:rPr>
        <w:t>La renovación de los contratos de servicios ocasionales se realizará con el mismo servidor que fue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contratado y deberá considerarse que, por su naturaleza jurídica, el contrato de servicios ocasionales no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genera estabilidad laboral y está destinado a satisfacer necesidades institucionales de carácter no</w:t>
      </w:r>
      <w:r>
        <w:rPr>
          <w:rFonts w:ascii="Arial" w:hAnsi="Arial" w:cs="Arial"/>
          <w:i/>
          <w:noProof/>
          <w:color w:val="000000"/>
        </w:rPr>
        <w:t xml:space="preserve"> </w:t>
      </w:r>
      <w:r w:rsidRPr="00327C0F">
        <w:rPr>
          <w:rFonts w:ascii="Arial" w:hAnsi="Arial" w:cs="Arial"/>
          <w:i/>
          <w:noProof/>
          <w:color w:val="000000"/>
        </w:rPr>
        <w:t>permanente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.</w:t>
      </w:r>
    </w:p>
    <w:p w:rsidR="005834E9" w:rsidRDefault="005834E9" w:rsidP="005834E9">
      <w:pPr>
        <w:spacing w:line="276" w:lineRule="auto"/>
        <w:contextualSpacing/>
        <w:jc w:val="both"/>
        <w:rPr>
          <w:rFonts w:ascii="Arial" w:hAnsi="Arial" w:cs="Arial"/>
        </w:rPr>
      </w:pPr>
    </w:p>
    <w:p w:rsidR="005834E9" w:rsidRDefault="005834E9" w:rsidP="005834E9">
      <w:pPr>
        <w:spacing w:line="276" w:lineRule="auto"/>
        <w:contextualSpacing/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En tal sentido; y, en cumplimiento a la base legal antes citada, el (REGISTRAR EL NOMBRE DE LA ENTIDAD), ha renovado XXX (registrar en número y letras) contratos de servicios ocasionales, que no superar </w:t>
      </w:r>
      <w:r w:rsidRPr="00A70398">
        <w:rPr>
          <w:rFonts w:ascii="Arial" w:hAnsi="Arial" w:cs="Arial"/>
        </w:rPr>
        <w:t>el plazo</w:t>
      </w:r>
      <w:r>
        <w:rPr>
          <w:rFonts w:ascii="Arial" w:hAnsi="Arial" w:cs="Arial"/>
        </w:rPr>
        <w:t xml:space="preserve"> </w:t>
      </w:r>
      <w:r w:rsidRPr="00A70398">
        <w:rPr>
          <w:rFonts w:ascii="Arial" w:hAnsi="Arial" w:cs="Arial"/>
        </w:rPr>
        <w:t>máximo de duración establecido en el artículo 58 de la LOSEP (12 meses)</w:t>
      </w:r>
      <w:r>
        <w:rPr>
          <w:rFonts w:ascii="Arial" w:hAnsi="Arial" w:cs="Arial"/>
        </w:rPr>
        <w:t xml:space="preserve">. Los mismos que han sido renovados bajo nuestra exclusiva responsabilidad, en las mismas condiciones que fueron aprobados por el Ministerio del Trabajo, de acuerdo a lo establecido en el numeral </w:t>
      </w:r>
      <w:r w:rsidRPr="00327C0F">
        <w:rPr>
          <w:rFonts w:ascii="Arial" w:hAnsi="Arial" w:cs="Arial"/>
          <w:i/>
          <w:noProof/>
          <w:color w:val="000000"/>
        </w:rPr>
        <w:t>5.2.</w:t>
      </w:r>
      <w:r>
        <w:rPr>
          <w:rFonts w:ascii="Arial" w:hAnsi="Arial" w:cs="Arial"/>
          <w:i/>
          <w:noProof/>
          <w:color w:val="000000"/>
        </w:rPr>
        <w:t>1</w:t>
      </w:r>
      <w:r w:rsidRPr="00327C0F">
        <w:rPr>
          <w:rFonts w:ascii="Arial" w:hAnsi="Arial" w:cs="Arial"/>
          <w:i/>
          <w:noProof/>
          <w:color w:val="000000"/>
        </w:rPr>
        <w:t xml:space="preserve"> Renovación de Contratos de Servicios Ocasionales</w:t>
      </w:r>
      <w:r>
        <w:rPr>
          <w:rFonts w:ascii="Arial" w:hAnsi="Arial" w:cs="Arial"/>
          <w:i/>
          <w:noProof/>
          <w:color w:val="000000"/>
        </w:rPr>
        <w:t xml:space="preserve"> de</w:t>
      </w:r>
      <w:r>
        <w:rPr>
          <w:rFonts w:ascii="Arial" w:hAnsi="Arial" w:cs="Arial"/>
        </w:rPr>
        <w:t xml:space="preserve"> los </w:t>
      </w:r>
      <w:r w:rsidRPr="00A70398">
        <w:rPr>
          <w:rFonts w:ascii="Arial" w:hAnsi="Arial" w:cs="Arial"/>
        </w:rPr>
        <w:t>Lineamientos para la elaboración de la planificación de talento humano, contratos</w:t>
      </w:r>
      <w:r>
        <w:rPr>
          <w:rFonts w:ascii="Arial" w:hAnsi="Arial" w:cs="Arial"/>
        </w:rPr>
        <w:t xml:space="preserve"> </w:t>
      </w:r>
      <w:r w:rsidRPr="00A70398">
        <w:rPr>
          <w:rFonts w:ascii="Arial" w:hAnsi="Arial" w:cs="Arial"/>
        </w:rPr>
        <w:t>ocasionales operativos NJS y excepciones del 20% durante el ejercicio fiscal 2024</w:t>
      </w:r>
      <w:r>
        <w:rPr>
          <w:rFonts w:ascii="Arial" w:hAnsi="Arial" w:cs="Arial"/>
        </w:rPr>
        <w:t xml:space="preserve">, socializada por el Ministerio del Trabajo mediante Oficios Circulares </w:t>
      </w:r>
      <w:r w:rsidRPr="00A70398">
        <w:rPr>
          <w:rFonts w:ascii="Arial" w:hAnsi="Arial" w:cs="Arial"/>
        </w:rPr>
        <w:t>MDT-DGDA-2023-0029-C</w:t>
      </w:r>
      <w:r>
        <w:rPr>
          <w:rFonts w:ascii="Arial" w:hAnsi="Arial" w:cs="Arial"/>
        </w:rPr>
        <w:t xml:space="preserve">; y, </w:t>
      </w:r>
      <w:r w:rsidRPr="00A70398">
        <w:rPr>
          <w:rFonts w:ascii="Arial" w:hAnsi="Arial" w:cs="Arial"/>
        </w:rPr>
        <w:t>MDT-DGDA-2023-00</w:t>
      </w:r>
      <w:r>
        <w:rPr>
          <w:rFonts w:ascii="Arial" w:hAnsi="Arial" w:cs="Arial"/>
        </w:rPr>
        <w:t>30</w:t>
      </w:r>
      <w:r w:rsidRPr="00A70398">
        <w:rPr>
          <w:rFonts w:ascii="Arial" w:hAnsi="Arial" w:cs="Arial"/>
        </w:rPr>
        <w:t>-C</w:t>
      </w:r>
      <w:r>
        <w:rPr>
          <w:rFonts w:ascii="Arial" w:hAnsi="Arial" w:cs="Arial"/>
        </w:rPr>
        <w:t>, del 28 de diciembre del 2023.</w:t>
      </w:r>
    </w:p>
    <w:p w:rsidR="005834E9" w:rsidRDefault="005834E9" w:rsidP="005834E9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34E9" w:rsidRDefault="005834E9" w:rsidP="005834E9">
      <w:pPr>
        <w:spacing w:line="276" w:lineRule="auto"/>
        <w:contextualSpacing/>
        <w:jc w:val="both"/>
        <w:rPr>
          <w:rFonts w:ascii="Arial" w:hAnsi="Arial" w:cs="Arial"/>
          <w:i/>
          <w:noProof/>
          <w:color w:val="000000"/>
        </w:rPr>
      </w:pPr>
      <w:r>
        <w:rPr>
          <w:rFonts w:ascii="Arial" w:hAnsi="Arial" w:cs="Arial"/>
        </w:rPr>
        <w:t>Para el efecto, adjunto la matriz que contiene el detalle de los contratos de servicios ocasionales renovados, en el formato establecido por el Ministerio del Trabajo (Excel y PDF) con las respectivas firmas de responsabilidad.</w:t>
      </w:r>
    </w:p>
    <w:p w:rsidR="005834E9" w:rsidRDefault="005834E9" w:rsidP="005834E9">
      <w:pPr>
        <w:spacing w:line="276" w:lineRule="auto"/>
        <w:contextualSpacing/>
        <w:jc w:val="both"/>
        <w:rPr>
          <w:rFonts w:ascii="Arial" w:hAnsi="Arial" w:cs="Arial"/>
          <w:i/>
          <w:noProof/>
          <w:color w:val="000000"/>
        </w:rPr>
      </w:pPr>
    </w:p>
    <w:p w:rsidR="005834E9" w:rsidRPr="00F50599" w:rsidRDefault="005834E9" w:rsidP="005834E9">
      <w:pPr>
        <w:spacing w:line="276" w:lineRule="auto"/>
        <w:jc w:val="both"/>
        <w:rPr>
          <w:rFonts w:ascii="Arial" w:hAnsi="Arial" w:cs="Arial"/>
          <w:bCs/>
          <w:color w:val="000000"/>
          <w:lang w:eastAsia="es-EC"/>
        </w:rPr>
      </w:pPr>
      <w:r w:rsidRPr="00F50599">
        <w:rPr>
          <w:rFonts w:ascii="Arial" w:hAnsi="Arial" w:cs="Arial"/>
          <w:bCs/>
          <w:color w:val="000000"/>
          <w:lang w:eastAsia="es-EC"/>
        </w:rPr>
        <w:t xml:space="preserve">En mi calidad de director/responsable de la Unidad de Administración de Talento Humano me permito indicar que se ha verificado la veracidad y legalidad de la información contenida en el presente </w:t>
      </w:r>
      <w:r>
        <w:rPr>
          <w:rFonts w:ascii="Arial" w:hAnsi="Arial" w:cs="Arial"/>
          <w:bCs/>
          <w:color w:val="000000"/>
          <w:lang w:eastAsia="es-EC"/>
        </w:rPr>
        <w:t>oficio</w:t>
      </w:r>
      <w:r w:rsidRPr="00F50599">
        <w:rPr>
          <w:rFonts w:ascii="Arial" w:hAnsi="Arial" w:cs="Arial"/>
          <w:bCs/>
          <w:color w:val="000000"/>
          <w:lang w:eastAsia="es-EC"/>
        </w:rPr>
        <w:t xml:space="preserve">, así como también de sus anexos, en aplicación a lo dispuesto en la normativa legal vigente, demás cuerpos legales aplicables bajo mi exclusiva responsabilidad. </w:t>
      </w:r>
    </w:p>
    <w:bookmarkEnd w:id="0"/>
    <w:sectPr w:rsidR="005834E9" w:rsidRPr="00F50599" w:rsidSect="00964DCF">
      <w:headerReference w:type="even" r:id="rId7"/>
      <w:footerReference w:type="default" r:id="rId8"/>
      <w:headerReference w:type="first" r:id="rId9"/>
      <w:pgSz w:w="11906" w:h="16838"/>
      <w:pgMar w:top="212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34E9">
      <w:pPr>
        <w:spacing w:after="0" w:line="240" w:lineRule="auto"/>
      </w:pPr>
      <w:r>
        <w:separator/>
      </w:r>
    </w:p>
  </w:endnote>
  <w:endnote w:type="continuationSeparator" w:id="0">
    <w:p w:rsidR="00000000" w:rsidRDefault="0058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640" w:rsidRDefault="00F5059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93755A">
      <w:rPr>
        <w:noProof/>
        <w:lang w:val="es-ES"/>
      </w:rPr>
      <w:t>1</w:t>
    </w:r>
    <w:r>
      <w:fldChar w:fldCharType="end"/>
    </w:r>
  </w:p>
  <w:p w:rsidR="00D05640" w:rsidRDefault="005834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34E9">
      <w:pPr>
        <w:spacing w:after="0" w:line="240" w:lineRule="auto"/>
      </w:pPr>
      <w:r>
        <w:separator/>
      </w:r>
    </w:p>
  </w:footnote>
  <w:footnote w:type="continuationSeparator" w:id="0">
    <w:p w:rsidR="00000000" w:rsidRDefault="0058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640" w:rsidRDefault="00583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9" o:spid="_x0000_s1026" type="#_x0000_t75" style="position:absolute;margin-left:0;margin-top:0;width:595.75pt;height:842pt;z-index:-251659264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640" w:rsidRDefault="00583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8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7E2"/>
    <w:multiLevelType w:val="hybridMultilevel"/>
    <w:tmpl w:val="F3AA43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510"/>
    <w:multiLevelType w:val="hybridMultilevel"/>
    <w:tmpl w:val="586230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CC2"/>
    <w:multiLevelType w:val="hybridMultilevel"/>
    <w:tmpl w:val="E2E29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098F"/>
    <w:multiLevelType w:val="hybridMultilevel"/>
    <w:tmpl w:val="10D04C8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765561"/>
    <w:multiLevelType w:val="hybridMultilevel"/>
    <w:tmpl w:val="72DA7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E44C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B82A1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C"/>
    <w:rsid w:val="000B3CD2"/>
    <w:rsid w:val="0016226C"/>
    <w:rsid w:val="00327C0F"/>
    <w:rsid w:val="00340628"/>
    <w:rsid w:val="005834E9"/>
    <w:rsid w:val="0096294A"/>
    <w:rsid w:val="00A70398"/>
    <w:rsid w:val="00D91347"/>
    <w:rsid w:val="00F2710C"/>
    <w:rsid w:val="00F4264F"/>
    <w:rsid w:val="00F50599"/>
    <w:rsid w:val="00F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C5EAF"/>
  <w15:chartTrackingRefBased/>
  <w15:docId w15:val="{BE395913-2DF2-4A6D-88C1-380468E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2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2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26C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ar,List Paragraph1 Car,TIT 2 IND Car,Capítulo Car,cS List Paragraph Car,Bullet List Car,FooterText Car,numbered Car,Paragraphe de liste1 Car,lp1 Car,List Paragraph Car,Párrafo de lista2 Car,Párrafo de lista1 Car"/>
    <w:link w:val="Prrafodelista"/>
    <w:uiPriority w:val="1"/>
    <w:qFormat/>
    <w:locked/>
    <w:rsid w:val="0016226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exto,List Paragraph1,TIT 2 IND,Capítulo,cS List Paragraph,Bullet List,FooterText,numbered,Paragraphe de liste1,lp1,List Paragraph,Párrafo de lista2,Párrafo de lista1,Párrafo de lista ANEXO,cuadro ghf1,Lista vistosa - Énfasis 11"/>
    <w:basedOn w:val="Normal"/>
    <w:link w:val="PrrafodelistaCar"/>
    <w:uiPriority w:val="1"/>
    <w:qFormat/>
    <w:rsid w:val="00162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6226C"/>
    <w:pPr>
      <w:widowControl w:val="0"/>
      <w:autoSpaceDE w:val="0"/>
      <w:autoSpaceDN w:val="0"/>
      <w:adjustRightInd w:val="0"/>
      <w:spacing w:after="0" w:line="275" w:lineRule="exact"/>
      <w:ind w:hanging="336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2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Jeanina Salomé Riofrío Naranjo</dc:creator>
  <cp:keywords/>
  <dc:description/>
  <cp:lastModifiedBy>Jeanina Salomé Riofrío Naranjo</cp:lastModifiedBy>
  <cp:revision>2</cp:revision>
  <dcterms:created xsi:type="dcterms:W3CDTF">2024-01-08T17:40:00Z</dcterms:created>
  <dcterms:modified xsi:type="dcterms:W3CDTF">2024-01-09T17:22:00Z</dcterms:modified>
</cp:coreProperties>
</file>